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45"/>
        <w:jc w:val="left"/>
        <w:outlineLvl w:val="1"/>
        <w:rPr>
          <w:rFonts w:hint="eastAsia" w:ascii="仿宋_GB2312" w:hAnsi="仿宋_GB2312" w:eastAsia="仿宋_GB2312" w:cs="仿宋_GB2312"/>
          <w:kern w:val="0"/>
          <w:sz w:val="32"/>
          <w:szCs w:val="32"/>
          <w:lang w:eastAsia="zh-CN"/>
        </w:rPr>
      </w:pPr>
      <w:bookmarkStart w:id="0" w:name="_Toc15291"/>
      <w:bookmarkStart w:id="1" w:name="_Toc976"/>
      <w:bookmarkStart w:id="2" w:name="_Toc21262"/>
      <w:bookmarkStart w:id="3" w:name="_Toc18876"/>
      <w:bookmarkStart w:id="4" w:name="_Toc21948_WPSOffice_Level1"/>
      <w:bookmarkStart w:id="5" w:name="_Toc8067"/>
      <w:bookmarkStart w:id="6" w:name="_Toc12400"/>
      <w:bookmarkStart w:id="7" w:name="_Toc25132"/>
      <w:bookmarkStart w:id="8" w:name="_Toc1257"/>
      <w:bookmarkStart w:id="9" w:name="_Toc2508"/>
      <w:bookmarkStart w:id="10" w:name="_Toc478367843"/>
      <w:bookmarkStart w:id="11" w:name="_Toc23819"/>
      <w:r>
        <w:rPr>
          <w:rFonts w:hint="eastAsia" w:ascii="仿宋_GB2312" w:hAnsi="仿宋_GB2312" w:eastAsia="仿宋_GB2312" w:cs="仿宋_GB2312"/>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00" w:lineRule="exact"/>
        <w:ind w:left="-244"/>
        <w:jc w:val="center"/>
        <w:textAlignment w:val="auto"/>
        <w:outlineLvl w:val="1"/>
        <w:rPr>
          <w:rFonts w:ascii="方正小标宋简体" w:hAnsi="方正小标宋简体" w:eastAsia="方正小标宋简体" w:cs="宋体"/>
          <w:kern w:val="0"/>
          <w:sz w:val="36"/>
          <w:szCs w:val="36"/>
        </w:rPr>
      </w:pPr>
      <w:r>
        <w:rPr>
          <w:rFonts w:hint="eastAsia" w:ascii="方正小标宋简体" w:hAnsi="方正小标宋简体" w:eastAsia="方正小标宋简体" w:cs="宋体"/>
          <w:kern w:val="0"/>
          <w:sz w:val="36"/>
          <w:szCs w:val="36"/>
        </w:rPr>
        <w:t>污水处理厂尾水排口地表水监测岸边站运维</w:t>
      </w:r>
    </w:p>
    <w:p>
      <w:pPr>
        <w:keepNext w:val="0"/>
        <w:keepLines w:val="0"/>
        <w:pageBreakBefore w:val="0"/>
        <w:widowControl w:val="0"/>
        <w:kinsoku/>
        <w:wordWrap/>
        <w:overflowPunct/>
        <w:topLinePunct w:val="0"/>
        <w:autoSpaceDE/>
        <w:autoSpaceDN/>
        <w:bidi w:val="0"/>
        <w:adjustRightInd/>
        <w:snapToGrid/>
        <w:spacing w:line="500" w:lineRule="exact"/>
        <w:ind w:left="-244"/>
        <w:jc w:val="center"/>
        <w:textAlignment w:val="auto"/>
        <w:outlineLvl w:val="1"/>
        <w:rPr>
          <w:rFonts w:ascii="方正小标宋简体" w:hAnsi="方正小标宋简体" w:eastAsia="方正小标宋简体" w:cs="宋体"/>
          <w:kern w:val="0"/>
          <w:sz w:val="36"/>
          <w:szCs w:val="36"/>
        </w:rPr>
      </w:pPr>
      <w:r>
        <w:rPr>
          <w:rFonts w:hint="eastAsia" w:ascii="方正小标宋简体" w:hAnsi="方正小标宋简体" w:eastAsia="方正小标宋简体" w:cs="宋体"/>
          <w:kern w:val="0"/>
          <w:sz w:val="36"/>
          <w:szCs w:val="36"/>
        </w:rPr>
        <w:t>项目需求</w:t>
      </w:r>
    </w:p>
    <w:p>
      <w:pPr>
        <w:pStyle w:val="3"/>
        <w:bidi w:val="0"/>
      </w:pPr>
    </w:p>
    <w:p>
      <w:pPr>
        <w:keepNext w:val="0"/>
        <w:keepLines w:val="0"/>
        <w:pageBreakBefore w:val="0"/>
        <w:widowControl w:val="0"/>
        <w:kinsoku/>
        <w:wordWrap/>
        <w:overflowPunct/>
        <w:topLinePunct w:val="0"/>
        <w:bidi w:val="0"/>
        <w:spacing w:line="480" w:lineRule="exact"/>
        <w:ind w:firstLine="562" w:firstLineChars="200"/>
        <w:textAlignment w:val="auto"/>
        <w:outlineLvl w:val="1"/>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一、</w:t>
      </w:r>
      <w:r>
        <w:rPr>
          <w:rFonts w:hint="eastAsia" w:ascii="仿宋_GB2312" w:hAnsi="宋体" w:eastAsia="仿宋_GB2312" w:cs="宋体"/>
          <w:b/>
          <w:bCs/>
          <w:kern w:val="0"/>
          <w:sz w:val="28"/>
          <w:szCs w:val="28"/>
        </w:rPr>
        <w:t>项目</w:t>
      </w:r>
      <w:bookmarkEnd w:id="0"/>
      <w:bookmarkEnd w:id="1"/>
      <w:bookmarkEnd w:id="2"/>
      <w:bookmarkEnd w:id="3"/>
      <w:bookmarkEnd w:id="4"/>
      <w:bookmarkEnd w:id="5"/>
      <w:bookmarkEnd w:id="6"/>
      <w:bookmarkEnd w:id="7"/>
      <w:bookmarkEnd w:id="8"/>
      <w:bookmarkEnd w:id="9"/>
      <w:bookmarkEnd w:id="10"/>
      <w:bookmarkEnd w:id="11"/>
      <w:r>
        <w:rPr>
          <w:rFonts w:hint="eastAsia" w:ascii="仿宋_GB2312" w:hAnsi="宋体" w:eastAsia="仿宋_GB2312" w:cs="宋体"/>
          <w:b/>
          <w:bCs/>
          <w:kern w:val="0"/>
          <w:sz w:val="28"/>
          <w:szCs w:val="28"/>
          <w:lang w:eastAsia="zh-CN"/>
        </w:rPr>
        <w:t>内容</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sz w:val="20"/>
          <w:szCs w:val="22"/>
          <w:lang w:eastAsia="zh-CN"/>
        </w:rPr>
      </w:pPr>
      <w:r>
        <w:rPr>
          <w:rFonts w:hint="eastAsia" w:ascii="仿宋_GB2312" w:hAnsi="宋体" w:eastAsia="仿宋_GB2312" w:cs="宋体"/>
          <w:bCs/>
          <w:sz w:val="28"/>
          <w:szCs w:val="28"/>
          <w:lang w:eastAsia="zh-CN"/>
        </w:rPr>
        <w:t>为</w:t>
      </w:r>
      <w:r>
        <w:rPr>
          <w:rFonts w:hint="eastAsia" w:ascii="仿宋_GB2312" w:hAnsi="宋体" w:eastAsia="仿宋_GB2312" w:cs="宋体"/>
          <w:bCs/>
          <w:sz w:val="28"/>
          <w:szCs w:val="28"/>
          <w:lang w:val="en-US" w:eastAsia="zh-CN"/>
        </w:rPr>
        <w:t>7</w:t>
      </w:r>
      <w:r>
        <w:rPr>
          <w:rFonts w:hint="eastAsia" w:ascii="仿宋_GB2312" w:hAnsi="宋体" w:eastAsia="仿宋_GB2312" w:cs="宋体"/>
          <w:bCs/>
          <w:sz w:val="28"/>
          <w:szCs w:val="28"/>
        </w:rPr>
        <w:t>个松江区污水处理厂尾水排口地表水监测岸边站，监测指标为：常规五参数（水温、浊度、溶解氧、电导率、</w:t>
      </w:r>
      <w:r>
        <w:rPr>
          <w:rFonts w:ascii="仿宋_GB2312" w:hAnsi="宋体" w:eastAsia="仿宋_GB2312" w:cs="宋体"/>
          <w:bCs/>
          <w:sz w:val="28"/>
          <w:szCs w:val="28"/>
          <w:lang w:val="en"/>
        </w:rPr>
        <w:t>pH</w:t>
      </w:r>
      <w:r>
        <w:rPr>
          <w:rFonts w:hint="eastAsia" w:ascii="仿宋_GB2312" w:hAnsi="宋体" w:eastAsia="仿宋_GB2312" w:cs="宋体"/>
          <w:bCs/>
          <w:sz w:val="28"/>
          <w:szCs w:val="28"/>
          <w:lang w:val="en"/>
        </w:rPr>
        <w:t>）及氨氮。</w:t>
      </w:r>
      <w:r>
        <w:rPr>
          <w:rFonts w:hint="eastAsia" w:ascii="仿宋_GB2312" w:hAnsi="宋体" w:eastAsia="仿宋_GB2312" w:cs="宋体"/>
          <w:bCs/>
          <w:sz w:val="28"/>
          <w:szCs w:val="28"/>
          <w:lang w:val="en-US" w:eastAsia="zh-CN"/>
        </w:rPr>
        <w:t>为保证在线监测设备正常运行，需由专人定期巡检，更换耗材及试剂，备份数据。</w:t>
      </w:r>
      <w:r>
        <w:rPr>
          <w:rFonts w:hint="eastAsia" w:ascii="仿宋_GB2312" w:hAnsi="宋体" w:eastAsia="仿宋_GB2312" w:cs="宋体"/>
          <w:bCs/>
          <w:sz w:val="28"/>
          <w:szCs w:val="28"/>
          <w:lang w:eastAsia="zh-CN"/>
        </w:rPr>
        <w:t>主要</w:t>
      </w:r>
      <w:r>
        <w:rPr>
          <w:rFonts w:hint="eastAsia" w:ascii="仿宋_GB2312" w:hAnsi="宋体" w:eastAsia="仿宋_GB2312" w:cs="宋体"/>
          <w:b w:val="0"/>
          <w:bCs/>
          <w:sz w:val="28"/>
          <w:szCs w:val="28"/>
          <w:lang w:eastAsia="zh-CN"/>
        </w:rPr>
        <w:t>实施内容为</w:t>
      </w:r>
      <w:r>
        <w:rPr>
          <w:rFonts w:hint="eastAsia" w:ascii="仿宋_GB2312" w:hAnsi="Calibri" w:eastAsia="仿宋_GB2312"/>
          <w:b w:val="0"/>
          <w:bCs/>
          <w:sz w:val="28"/>
          <w:szCs w:val="28"/>
        </w:rPr>
        <w:t>仪器设备日常运维巡检</w:t>
      </w:r>
      <w:r>
        <w:rPr>
          <w:rFonts w:hint="eastAsia" w:ascii="仿宋_GB2312" w:hAnsi="Calibri" w:eastAsia="仿宋_GB2312"/>
          <w:b w:val="0"/>
          <w:bCs/>
          <w:sz w:val="28"/>
          <w:szCs w:val="28"/>
          <w:lang w:eastAsia="zh-CN"/>
        </w:rPr>
        <w:t>、数据比对校准、数据报警与分析、数据备份等。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80" w:lineRule="exact"/>
        <w:ind w:left="0" w:leftChars="0" w:firstLine="562" w:firstLineChars="200"/>
        <w:textAlignment w:val="auto"/>
        <w:rPr>
          <w:rFonts w:hint="default" w:ascii="仿宋_GB2312" w:hAnsi="仿宋_GB2312" w:eastAsia="仿宋_GB2312" w:cs="仿宋_GB2312"/>
          <w:b/>
          <w:bCs/>
          <w:sz w:val="28"/>
          <w:szCs w:val="28"/>
          <w:lang w:val="en" w:eastAsia="zh-CN"/>
        </w:rPr>
      </w:pPr>
      <w:r>
        <w:rPr>
          <w:rFonts w:hint="eastAsia" w:ascii="仿宋_GB2312" w:hAnsi="仿宋_GB2312" w:eastAsia="仿宋_GB2312" w:cs="仿宋_GB2312"/>
          <w:b/>
          <w:bCs/>
          <w:color w:val="auto"/>
          <w:sz w:val="28"/>
          <w:szCs w:val="28"/>
          <w:highlight w:val="none"/>
          <w:lang w:eastAsia="zh-CN"/>
        </w:rPr>
        <w:t>二、</w:t>
      </w:r>
      <w:r>
        <w:rPr>
          <w:rFonts w:hint="eastAsia" w:ascii="仿宋_GB2312" w:hAnsi="仿宋_GB2312" w:eastAsia="仿宋_GB2312" w:cs="仿宋_GB2312"/>
          <w:b/>
          <w:bCs/>
          <w:sz w:val="28"/>
          <w:szCs w:val="28"/>
          <w:lang w:val="en-US" w:eastAsia="zh-CN"/>
        </w:rPr>
        <w:t>具体工作内容及要求</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宋体" w:eastAsia="仿宋_GB2312" w:cs="宋体"/>
          <w:bCs/>
          <w:sz w:val="28"/>
          <w:szCs w:val="28"/>
          <w:lang w:eastAsia="zh-CN"/>
        </w:rPr>
      </w:pPr>
      <w:r>
        <w:rPr>
          <w:rFonts w:hint="eastAsia" w:ascii="仿宋_GB2312" w:hAnsi="Calibri" w:eastAsia="仿宋_GB2312"/>
          <w:b/>
          <w:bCs w:val="0"/>
          <w:sz w:val="28"/>
          <w:szCs w:val="28"/>
        </w:rPr>
        <w:t>1</w:t>
      </w:r>
      <w:r>
        <w:rPr>
          <w:rFonts w:hint="eastAsia" w:ascii="仿宋_GB2312" w:hAnsi="Calibri" w:eastAsia="仿宋_GB2312"/>
          <w:b/>
          <w:bCs w:val="0"/>
          <w:sz w:val="28"/>
          <w:szCs w:val="28"/>
          <w:lang w:val="en-US" w:eastAsia="zh-CN"/>
        </w:rPr>
        <w:t>.</w:t>
      </w:r>
      <w:r>
        <w:rPr>
          <w:rFonts w:hint="eastAsia" w:ascii="仿宋_GB2312" w:hAnsi="Calibri" w:eastAsia="仿宋_GB2312"/>
          <w:b/>
          <w:bCs w:val="0"/>
          <w:sz w:val="28"/>
          <w:szCs w:val="28"/>
        </w:rPr>
        <w:t>仪器设备日常运维巡检</w:t>
      </w:r>
      <w:bookmarkStart w:id="12" w:name="_GoBack"/>
      <w:bookmarkEnd w:id="12"/>
      <w:r>
        <w:rPr>
          <w:rFonts w:hint="eastAsia" w:ascii="仿宋_GB2312" w:hAnsi="Calibri" w:eastAsia="仿宋_GB2312"/>
          <w:b/>
          <w:bCs w:val="0"/>
          <w:sz w:val="28"/>
          <w:szCs w:val="28"/>
          <w:lang w:eastAsia="zh-CN"/>
        </w:rPr>
        <w:t>：</w:t>
      </w:r>
      <w:r>
        <w:rPr>
          <w:rFonts w:hint="eastAsia" w:ascii="仿宋_GB2312" w:hAnsi="Calibri" w:eastAsia="仿宋_GB2312"/>
          <w:bCs/>
          <w:sz w:val="28"/>
          <w:szCs w:val="28"/>
        </w:rPr>
        <w:t>每周</w:t>
      </w:r>
      <w:r>
        <w:rPr>
          <w:rFonts w:hint="eastAsia" w:ascii="仿宋_GB2312" w:hAnsi="Calibri" w:eastAsia="仿宋_GB2312"/>
          <w:bCs/>
          <w:sz w:val="28"/>
          <w:szCs w:val="28"/>
          <w:lang w:val="en-US" w:eastAsia="zh-CN"/>
        </w:rPr>
        <w:t>1</w:t>
      </w:r>
      <w:r>
        <w:rPr>
          <w:rFonts w:hint="eastAsia" w:ascii="仿宋_GB2312" w:hAnsi="Calibri" w:eastAsia="仿宋_GB2312"/>
          <w:bCs/>
          <w:sz w:val="28"/>
          <w:szCs w:val="28"/>
        </w:rPr>
        <w:t>次，巡检内容包含设备供电情况、排水管路情况、试剂耗材使用情况等，</w:t>
      </w:r>
      <w:r>
        <w:rPr>
          <w:rFonts w:hint="eastAsia" w:ascii="仿宋_GB2312" w:hAnsi="宋体" w:eastAsia="仿宋_GB2312" w:cs="宋体"/>
          <w:bCs/>
          <w:sz w:val="28"/>
          <w:szCs w:val="28"/>
        </w:rPr>
        <w:t>擦拭清洗传感器附着物、更换试剂标液，保证传感器正常运行</w:t>
      </w:r>
      <w:r>
        <w:rPr>
          <w:rFonts w:hint="eastAsia" w:ascii="仿宋_GB2312" w:hAnsi="宋体" w:eastAsia="仿宋_GB2312" w:cs="宋体"/>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Calibri" w:eastAsia="仿宋_GB2312"/>
          <w:bCs/>
          <w:sz w:val="28"/>
          <w:szCs w:val="28"/>
          <w:lang w:eastAsia="zh-CN"/>
        </w:rPr>
      </w:pPr>
      <w:r>
        <w:rPr>
          <w:rFonts w:hint="eastAsia" w:ascii="仿宋_GB2312" w:hAnsi="Calibri" w:eastAsia="仿宋_GB2312"/>
          <w:b/>
          <w:bCs w:val="0"/>
          <w:sz w:val="28"/>
          <w:szCs w:val="28"/>
        </w:rPr>
        <w:t>2</w:t>
      </w:r>
      <w:r>
        <w:rPr>
          <w:rFonts w:hint="eastAsia" w:ascii="仿宋_GB2312" w:hAnsi="Calibri" w:eastAsia="仿宋_GB2312"/>
          <w:b/>
          <w:bCs w:val="0"/>
          <w:sz w:val="28"/>
          <w:szCs w:val="28"/>
          <w:lang w:val="en-US" w:eastAsia="zh-CN"/>
        </w:rPr>
        <w:t>.数据第三方比对及校准：</w:t>
      </w:r>
      <w:r>
        <w:rPr>
          <w:rFonts w:hint="eastAsia" w:ascii="仿宋_GB2312" w:hAnsi="Calibri" w:eastAsia="仿宋_GB2312"/>
          <w:bCs/>
          <w:sz w:val="28"/>
          <w:szCs w:val="28"/>
        </w:rPr>
        <w:t>将自动监测设施的数据与</w:t>
      </w:r>
      <w:r>
        <w:rPr>
          <w:rFonts w:hint="eastAsia" w:ascii="仿宋_GB2312" w:hAnsi="宋体" w:eastAsia="仿宋_GB2312" w:cs="宋体"/>
          <w:bCs/>
          <w:sz w:val="28"/>
          <w:szCs w:val="28"/>
        </w:rPr>
        <w:t>第三方水质</w:t>
      </w:r>
      <w:r>
        <w:rPr>
          <w:rFonts w:hint="eastAsia" w:ascii="仿宋_GB2312" w:hAnsi="宋体" w:eastAsia="仿宋_GB2312" w:cs="宋体"/>
          <w:bCs/>
          <w:sz w:val="28"/>
          <w:szCs w:val="28"/>
          <w:lang w:val="en-US" w:eastAsia="zh-CN"/>
        </w:rPr>
        <w:t>检测数据</w:t>
      </w:r>
      <w:r>
        <w:rPr>
          <w:rFonts w:hint="eastAsia" w:ascii="仿宋_GB2312" w:hAnsi="宋体" w:eastAsia="仿宋_GB2312" w:cs="宋体"/>
          <w:bCs/>
          <w:sz w:val="28"/>
          <w:szCs w:val="28"/>
        </w:rPr>
        <w:t>比对</w:t>
      </w:r>
      <w:r>
        <w:rPr>
          <w:rFonts w:hint="eastAsia" w:ascii="仿宋_GB2312" w:hAnsi="宋体" w:eastAsia="仿宋_GB2312" w:cs="宋体"/>
          <w:bCs/>
          <w:sz w:val="28"/>
          <w:szCs w:val="28"/>
          <w:lang w:eastAsia="zh-CN"/>
        </w:rPr>
        <w:t>，</w:t>
      </w:r>
      <w:r>
        <w:rPr>
          <w:rFonts w:hint="eastAsia" w:ascii="仿宋_GB2312" w:hAnsi="Calibri" w:eastAsia="仿宋_GB2312"/>
          <w:bCs/>
          <w:sz w:val="28"/>
          <w:szCs w:val="28"/>
        </w:rPr>
        <w:t>每月</w:t>
      </w:r>
      <w:r>
        <w:rPr>
          <w:rFonts w:hint="eastAsia" w:ascii="仿宋_GB2312" w:hAnsi="Calibri" w:eastAsia="仿宋_GB2312"/>
          <w:bCs/>
          <w:sz w:val="28"/>
          <w:szCs w:val="28"/>
          <w:lang w:val="en-US" w:eastAsia="zh-CN"/>
        </w:rPr>
        <w:t>1</w:t>
      </w:r>
      <w:r>
        <w:rPr>
          <w:rFonts w:hint="eastAsia" w:ascii="仿宋_GB2312" w:hAnsi="Calibri" w:eastAsia="仿宋_GB2312"/>
          <w:bCs/>
          <w:sz w:val="28"/>
          <w:szCs w:val="28"/>
        </w:rPr>
        <w:t>次，若误差较大，需对设备</w:t>
      </w:r>
      <w:r>
        <w:rPr>
          <w:rFonts w:hint="eastAsia" w:ascii="仿宋_GB2312" w:hAnsi="宋体" w:eastAsia="仿宋_GB2312" w:cs="宋体"/>
          <w:bCs/>
          <w:sz w:val="28"/>
          <w:szCs w:val="28"/>
        </w:rPr>
        <w:t>进行更换调整，形成书面报告留档保存</w:t>
      </w:r>
      <w:r>
        <w:rPr>
          <w:rFonts w:hint="eastAsia" w:ascii="仿宋_GB2312" w:hAnsi="宋体" w:eastAsia="仿宋_GB2312" w:cs="宋体"/>
          <w:bCs/>
          <w:sz w:val="28"/>
          <w:szCs w:val="28"/>
          <w:lang w:eastAsia="zh-CN"/>
        </w:rPr>
        <w:t>，</w:t>
      </w:r>
      <w:r>
        <w:rPr>
          <w:rFonts w:hint="eastAsia" w:ascii="仿宋_GB2312" w:hAnsi="Calibri" w:eastAsia="仿宋_GB2312"/>
          <w:bCs/>
          <w:sz w:val="28"/>
          <w:szCs w:val="28"/>
        </w:rPr>
        <w:t>每年</w:t>
      </w:r>
      <w:r>
        <w:rPr>
          <w:rFonts w:hint="eastAsia" w:ascii="仿宋_GB2312" w:hAnsi="Calibri" w:eastAsia="仿宋_GB2312"/>
          <w:bCs/>
          <w:sz w:val="28"/>
          <w:szCs w:val="28"/>
          <w:lang w:eastAsia="zh-CN"/>
        </w:rPr>
        <w:t>对</w:t>
      </w:r>
      <w:r>
        <w:rPr>
          <w:rFonts w:hint="eastAsia" w:ascii="仿宋_GB2312" w:hAnsi="Calibri" w:eastAsia="仿宋_GB2312"/>
          <w:bCs/>
          <w:sz w:val="28"/>
          <w:szCs w:val="28"/>
        </w:rPr>
        <w:t>站点内仪表</w:t>
      </w:r>
      <w:r>
        <w:rPr>
          <w:rFonts w:hint="eastAsia" w:ascii="仿宋_GB2312" w:hAnsi="Calibri" w:eastAsia="仿宋_GB2312"/>
          <w:bCs/>
          <w:sz w:val="28"/>
          <w:szCs w:val="28"/>
          <w:lang w:eastAsia="zh-CN"/>
        </w:rPr>
        <w:t>，包括</w:t>
      </w:r>
      <w:r>
        <w:rPr>
          <w:rFonts w:hint="eastAsia" w:ascii="仿宋_GB2312" w:hAnsi="Calibri" w:eastAsia="仿宋_GB2312"/>
          <w:bCs/>
          <w:sz w:val="28"/>
          <w:szCs w:val="28"/>
        </w:rPr>
        <w:t>氨氮分析仪、常规五参数等</w:t>
      </w:r>
      <w:r>
        <w:rPr>
          <w:rFonts w:hint="eastAsia" w:ascii="仿宋_GB2312" w:hAnsi="Calibri" w:eastAsia="仿宋_GB2312"/>
          <w:bCs/>
          <w:sz w:val="28"/>
          <w:szCs w:val="28"/>
          <w:lang w:eastAsia="zh-CN"/>
        </w:rPr>
        <w:t>备件进行更换，</w:t>
      </w:r>
      <w:r>
        <w:rPr>
          <w:rFonts w:hint="eastAsia" w:ascii="仿宋_GB2312" w:hAnsi="Calibri" w:eastAsia="仿宋_GB2312"/>
          <w:bCs/>
          <w:sz w:val="28"/>
          <w:szCs w:val="28"/>
        </w:rPr>
        <w:t>并做好记录</w:t>
      </w:r>
      <w:r>
        <w:rPr>
          <w:rFonts w:hint="eastAsia" w:ascii="仿宋_GB2312" w:hAnsi="Calibri" w:eastAsia="仿宋_GB2312"/>
          <w:bCs/>
          <w:sz w:val="28"/>
          <w:szCs w:val="28"/>
          <w:lang w:eastAsia="zh-CN"/>
        </w:rPr>
        <w:t>。</w:t>
      </w:r>
    </w:p>
    <w:p>
      <w:pPr>
        <w:keepNext w:val="0"/>
        <w:keepLines w:val="0"/>
        <w:pageBreakBefore w:val="0"/>
        <w:widowControl w:val="0"/>
        <w:kinsoku/>
        <w:wordWrap/>
        <w:overflowPunct/>
        <w:topLinePunct w:val="0"/>
        <w:bidi w:val="0"/>
        <w:spacing w:line="480" w:lineRule="exact"/>
        <w:ind w:firstLine="562" w:firstLineChars="200"/>
        <w:textAlignment w:val="auto"/>
        <w:rPr>
          <w:rFonts w:hint="eastAsia" w:ascii="仿宋_GB2312" w:hAnsi="Calibri" w:eastAsia="仿宋_GB2312"/>
          <w:bCs/>
          <w:sz w:val="28"/>
          <w:szCs w:val="28"/>
        </w:rPr>
      </w:pPr>
      <w:r>
        <w:rPr>
          <w:rFonts w:hint="eastAsia" w:ascii="仿宋_GB2312" w:hAnsi="Calibri" w:eastAsia="仿宋_GB2312"/>
          <w:b/>
          <w:bCs w:val="0"/>
          <w:sz w:val="28"/>
          <w:szCs w:val="28"/>
        </w:rPr>
        <w:t>3</w:t>
      </w:r>
      <w:r>
        <w:rPr>
          <w:rFonts w:hint="eastAsia" w:ascii="仿宋_GB2312" w:hAnsi="Calibri" w:eastAsia="仿宋_GB2312"/>
          <w:b/>
          <w:bCs w:val="0"/>
          <w:sz w:val="28"/>
          <w:szCs w:val="28"/>
          <w:lang w:val="en-US" w:eastAsia="zh-CN"/>
        </w:rPr>
        <w:t>.水质异常情况监控：</w:t>
      </w:r>
      <w:r>
        <w:rPr>
          <w:rFonts w:hint="eastAsia" w:ascii="仿宋_GB2312" w:hAnsi="宋体" w:eastAsia="仿宋_GB2312" w:cs="宋体"/>
          <w:bCs/>
          <w:sz w:val="28"/>
          <w:szCs w:val="28"/>
        </w:rPr>
        <w:t>后台工作人员</w:t>
      </w:r>
      <w:r>
        <w:rPr>
          <w:rFonts w:hint="eastAsia" w:ascii="仿宋_GB2312" w:hAnsi="宋体" w:eastAsia="仿宋_GB2312" w:cs="宋体"/>
          <w:bCs/>
          <w:sz w:val="28"/>
          <w:szCs w:val="28"/>
          <w:lang w:val="en-US" w:eastAsia="zh-CN"/>
        </w:rPr>
        <w:t>对</w:t>
      </w:r>
      <w:r>
        <w:rPr>
          <w:rFonts w:hint="eastAsia" w:ascii="仿宋_GB2312" w:hAnsi="宋体" w:eastAsia="仿宋_GB2312" w:cs="宋体"/>
          <w:bCs/>
          <w:sz w:val="28"/>
          <w:szCs w:val="28"/>
        </w:rPr>
        <w:t>河道</w:t>
      </w:r>
      <w:r>
        <w:rPr>
          <w:rFonts w:hint="eastAsia" w:ascii="仿宋_GB2312" w:hAnsi="宋体" w:eastAsia="仿宋_GB2312" w:cs="宋体"/>
          <w:bCs/>
          <w:sz w:val="28"/>
          <w:szCs w:val="28"/>
          <w:lang w:val="en-US" w:eastAsia="zh-CN"/>
        </w:rPr>
        <w:t>水质异常情况实时感知，</w:t>
      </w:r>
      <w:r>
        <w:rPr>
          <w:rFonts w:hint="eastAsia" w:ascii="仿宋_GB2312" w:hAnsi="宋体" w:eastAsia="仿宋_GB2312" w:cs="宋体"/>
          <w:bCs/>
          <w:sz w:val="28"/>
          <w:szCs w:val="28"/>
        </w:rPr>
        <w:t>发现问题</w:t>
      </w:r>
      <w:r>
        <w:rPr>
          <w:rFonts w:hint="eastAsia" w:ascii="仿宋_GB2312" w:hAnsi="宋体" w:eastAsia="仿宋_GB2312" w:cs="宋体"/>
          <w:bCs/>
          <w:sz w:val="28"/>
          <w:szCs w:val="28"/>
          <w:lang w:eastAsia="zh-CN"/>
        </w:rPr>
        <w:t>及时上报，</w:t>
      </w:r>
      <w:r>
        <w:rPr>
          <w:rFonts w:hint="eastAsia" w:ascii="仿宋_GB2312" w:hAnsi="宋体" w:eastAsia="仿宋_GB2312" w:cs="宋体"/>
          <w:bCs/>
          <w:sz w:val="28"/>
          <w:szCs w:val="28"/>
        </w:rPr>
        <w:t>如遇数据异常或超标情况需24小时内向我局汇报说明</w:t>
      </w:r>
      <w:r>
        <w:rPr>
          <w:rFonts w:hint="eastAsia" w:ascii="仿宋_GB2312" w:hAnsi="宋体" w:eastAsia="仿宋_GB2312" w:cs="宋体"/>
          <w:bCs/>
          <w:sz w:val="28"/>
          <w:szCs w:val="28"/>
          <w:lang w:eastAsia="zh-CN"/>
        </w:rPr>
        <w:t>简要</w:t>
      </w:r>
      <w:r>
        <w:rPr>
          <w:rFonts w:hint="eastAsia" w:ascii="仿宋_GB2312" w:hAnsi="宋体" w:eastAsia="仿宋_GB2312" w:cs="宋体"/>
          <w:bCs/>
          <w:sz w:val="28"/>
          <w:szCs w:val="28"/>
        </w:rPr>
        <w:t>情况。</w:t>
      </w:r>
      <w:r>
        <w:rPr>
          <w:rFonts w:hint="eastAsia" w:ascii="仿宋_GB2312" w:hAnsi="宋体" w:eastAsia="仿宋_GB2312" w:cs="宋体"/>
          <w:bCs/>
          <w:sz w:val="28"/>
          <w:szCs w:val="28"/>
          <w:lang w:val="en-US" w:eastAsia="zh-CN"/>
        </w:rPr>
        <w:t>同时在现场</w:t>
      </w:r>
      <w:r>
        <w:rPr>
          <w:rFonts w:hint="eastAsia" w:ascii="仿宋_GB2312" w:hAnsi="宋体" w:eastAsia="仿宋_GB2312" w:cs="宋体"/>
          <w:bCs/>
          <w:sz w:val="28"/>
          <w:szCs w:val="28"/>
        </w:rPr>
        <w:t>运维时</w:t>
      </w:r>
      <w:r>
        <w:rPr>
          <w:rFonts w:hint="eastAsia" w:ascii="仿宋_GB2312" w:hAnsi="宋体" w:eastAsia="仿宋_GB2312" w:cs="宋体"/>
          <w:bCs/>
          <w:sz w:val="28"/>
          <w:szCs w:val="28"/>
          <w:lang w:eastAsia="zh-CN"/>
        </w:rPr>
        <w:t>，如</w:t>
      </w:r>
      <w:r>
        <w:rPr>
          <w:rFonts w:hint="eastAsia" w:ascii="仿宋_GB2312" w:hAnsi="宋体" w:eastAsia="仿宋_GB2312" w:cs="宋体"/>
          <w:bCs/>
          <w:sz w:val="28"/>
          <w:szCs w:val="28"/>
          <w:lang w:val="en-US" w:eastAsia="zh-CN"/>
        </w:rPr>
        <w:t>发现</w:t>
      </w:r>
      <w:r>
        <w:rPr>
          <w:rFonts w:hint="eastAsia" w:ascii="仿宋_GB2312" w:hAnsi="宋体" w:eastAsia="仿宋_GB2312" w:cs="宋体"/>
          <w:bCs/>
          <w:sz w:val="28"/>
          <w:szCs w:val="28"/>
        </w:rPr>
        <w:t>河道异常情况</w:t>
      </w:r>
      <w:r>
        <w:rPr>
          <w:rFonts w:hint="eastAsia" w:ascii="仿宋_GB2312" w:hAnsi="宋体" w:eastAsia="仿宋_GB2312" w:cs="宋体"/>
          <w:bCs/>
          <w:sz w:val="28"/>
          <w:szCs w:val="28"/>
          <w:lang w:val="en-US" w:eastAsia="zh-CN"/>
        </w:rPr>
        <w:t>需</w:t>
      </w:r>
      <w:r>
        <w:rPr>
          <w:rFonts w:hint="eastAsia" w:ascii="仿宋_GB2312" w:hAnsi="宋体" w:eastAsia="仿宋_GB2312" w:cs="宋体"/>
          <w:bCs/>
          <w:sz w:val="28"/>
          <w:szCs w:val="28"/>
        </w:rPr>
        <w:t>进行拍照保存，</w:t>
      </w:r>
      <w:r>
        <w:rPr>
          <w:rFonts w:hint="eastAsia" w:ascii="仿宋_GB2312" w:hAnsi="宋体" w:eastAsia="仿宋_GB2312" w:cs="宋体"/>
          <w:bCs/>
          <w:sz w:val="28"/>
          <w:szCs w:val="28"/>
          <w:lang w:val="en-US" w:eastAsia="zh-CN"/>
        </w:rPr>
        <w:t>并</w:t>
      </w:r>
      <w:r>
        <w:rPr>
          <w:rFonts w:hint="eastAsia" w:ascii="仿宋_GB2312" w:hAnsi="宋体" w:eastAsia="仿宋_GB2312" w:cs="宋体"/>
          <w:bCs/>
          <w:sz w:val="28"/>
          <w:szCs w:val="28"/>
        </w:rPr>
        <w:t>在月度报告中体现。</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sz w:val="20"/>
          <w:szCs w:val="22"/>
          <w:lang w:val="en-US"/>
        </w:rPr>
      </w:pPr>
      <w:r>
        <w:rPr>
          <w:rFonts w:hint="eastAsia" w:ascii="仿宋_GB2312" w:hAnsi="Calibri" w:eastAsia="仿宋_GB2312"/>
          <w:b/>
          <w:bCs w:val="0"/>
          <w:sz w:val="28"/>
          <w:szCs w:val="28"/>
        </w:rPr>
        <w:t>4</w:t>
      </w:r>
      <w:r>
        <w:rPr>
          <w:rFonts w:hint="eastAsia" w:ascii="仿宋_GB2312" w:hAnsi="Calibri" w:eastAsia="仿宋_GB2312"/>
          <w:b/>
          <w:bCs w:val="0"/>
          <w:sz w:val="28"/>
          <w:szCs w:val="28"/>
          <w:lang w:val="en-US" w:eastAsia="zh-CN"/>
        </w:rPr>
        <w:t>.</w:t>
      </w:r>
      <w:r>
        <w:rPr>
          <w:rFonts w:hint="eastAsia" w:ascii="仿宋_GB2312" w:hAnsi="宋体" w:eastAsia="仿宋_GB2312" w:cs="宋体"/>
          <w:b/>
          <w:bCs w:val="0"/>
          <w:sz w:val="28"/>
          <w:szCs w:val="28"/>
          <w:highlight w:val="none"/>
          <w:lang w:val="en-US" w:eastAsia="zh-CN"/>
        </w:rPr>
        <w:t>数据报警与分析服务：</w:t>
      </w:r>
      <w:r>
        <w:rPr>
          <w:rFonts w:hint="eastAsia" w:ascii="仿宋_GB2312" w:hAnsi="宋体" w:eastAsia="仿宋_GB2312" w:cs="宋体"/>
          <w:bCs/>
          <w:sz w:val="28"/>
          <w:szCs w:val="28"/>
          <w:highlight w:val="none"/>
          <w:lang w:val="en-US" w:eastAsia="zh-CN"/>
        </w:rPr>
        <w:t>实现本项目7套水质岸边站的在线数据超标报警功能，提供历史数据的查看以及水质情况变化趋势分析。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宋体" w:eastAsia="仿宋_GB2312" w:cs="宋体"/>
          <w:bCs/>
          <w:sz w:val="28"/>
          <w:szCs w:val="28"/>
          <w:highlight w:val="none"/>
          <w:lang w:eastAsia="zh-CN"/>
        </w:rPr>
      </w:pPr>
      <w:r>
        <w:rPr>
          <w:rFonts w:hint="eastAsia" w:ascii="仿宋_GB2312" w:hAnsi="Calibri" w:eastAsia="仿宋_GB2312"/>
          <w:b/>
          <w:bCs w:val="0"/>
          <w:sz w:val="28"/>
          <w:szCs w:val="28"/>
          <w:lang w:val="en-US" w:eastAsia="zh-CN"/>
        </w:rPr>
        <w:t>5.数据实时查看：</w:t>
      </w:r>
      <w:r>
        <w:rPr>
          <w:rFonts w:hint="eastAsia" w:ascii="仿宋_GB2312" w:hAnsi="宋体" w:eastAsia="仿宋_GB2312" w:cs="宋体"/>
          <w:bCs/>
          <w:sz w:val="28"/>
          <w:szCs w:val="28"/>
          <w:highlight w:val="none"/>
          <w:lang w:val="en-US" w:eastAsia="zh-CN"/>
        </w:rPr>
        <w:t>提供现有7套岸边站设备在线监测数据接入服务，实现水质在线监测数据的查看以及报警信息管理</w:t>
      </w:r>
      <w:r>
        <w:rPr>
          <w:rFonts w:hint="eastAsia" w:ascii="仿宋_GB2312" w:hAnsi="宋体" w:eastAsia="仿宋_GB2312" w:cs="宋体"/>
          <w:bCs/>
          <w:sz w:val="28"/>
          <w:szCs w:val="28"/>
          <w:highlight w:val="none"/>
        </w:rPr>
        <w:t>，</w:t>
      </w:r>
      <w:r>
        <w:rPr>
          <w:rFonts w:hint="eastAsia" w:ascii="仿宋_GB2312" w:hAnsi="宋体" w:eastAsia="仿宋_GB2312" w:cs="宋体"/>
          <w:bCs/>
          <w:sz w:val="28"/>
          <w:szCs w:val="28"/>
          <w:highlight w:val="none"/>
          <w:lang w:val="en-US" w:eastAsia="zh-CN"/>
        </w:rPr>
        <w:t>且需对</w:t>
      </w:r>
      <w:r>
        <w:rPr>
          <w:rFonts w:hint="eastAsia" w:ascii="仿宋_GB2312" w:hAnsi="宋体" w:eastAsia="仿宋_GB2312" w:cs="宋体"/>
          <w:bCs/>
          <w:sz w:val="28"/>
          <w:szCs w:val="28"/>
          <w:highlight w:val="none"/>
        </w:rPr>
        <w:t>使用单位相关人员进行</w:t>
      </w:r>
      <w:r>
        <w:rPr>
          <w:rFonts w:hint="eastAsia" w:ascii="仿宋_GB2312" w:hAnsi="宋体" w:eastAsia="仿宋_GB2312" w:cs="宋体"/>
          <w:bCs/>
          <w:sz w:val="28"/>
          <w:szCs w:val="28"/>
          <w:highlight w:val="none"/>
          <w:lang w:val="en-US" w:eastAsia="zh-CN"/>
        </w:rPr>
        <w:t>数据</w:t>
      </w:r>
      <w:r>
        <w:rPr>
          <w:rFonts w:hint="eastAsia" w:ascii="仿宋_GB2312" w:hAnsi="宋体" w:eastAsia="仿宋_GB2312" w:cs="宋体"/>
          <w:bCs/>
          <w:sz w:val="28"/>
          <w:szCs w:val="28"/>
          <w:highlight w:val="none"/>
        </w:rPr>
        <w:t>平台及</w:t>
      </w:r>
      <w:r>
        <w:rPr>
          <w:rFonts w:hint="eastAsia" w:ascii="仿宋_GB2312" w:hAnsi="宋体" w:eastAsia="仿宋_GB2312" w:cs="宋体"/>
          <w:bCs/>
          <w:sz w:val="28"/>
          <w:szCs w:val="28"/>
          <w:highlight w:val="none"/>
          <w:lang w:val="en-US" w:eastAsia="zh-CN"/>
        </w:rPr>
        <w:t>手机端应用的</w:t>
      </w:r>
      <w:r>
        <w:rPr>
          <w:rFonts w:hint="eastAsia" w:ascii="仿宋_GB2312" w:hAnsi="宋体" w:eastAsia="仿宋_GB2312" w:cs="宋体"/>
          <w:bCs/>
          <w:sz w:val="28"/>
          <w:szCs w:val="28"/>
          <w:highlight w:val="none"/>
        </w:rPr>
        <w:t>培训</w:t>
      </w:r>
      <w:r>
        <w:rPr>
          <w:rFonts w:hint="eastAsia" w:ascii="仿宋_GB2312" w:hAnsi="宋体" w:eastAsia="仿宋_GB2312" w:cs="宋体"/>
          <w:bCs/>
          <w:sz w:val="28"/>
          <w:szCs w:val="28"/>
          <w:highlight w:val="none"/>
          <w:lang w:eastAsia="zh-CN"/>
        </w:rPr>
        <w:t>。</w:t>
      </w:r>
    </w:p>
    <w:p>
      <w:pPr>
        <w:keepNext w:val="0"/>
        <w:keepLines w:val="0"/>
        <w:pageBreakBefore w:val="0"/>
        <w:widowControl w:val="0"/>
        <w:kinsoku/>
        <w:wordWrap/>
        <w:overflowPunct/>
        <w:topLinePunct w:val="0"/>
        <w:bidi w:val="0"/>
        <w:spacing w:line="480" w:lineRule="exact"/>
        <w:ind w:firstLine="562" w:firstLineChars="200"/>
        <w:textAlignment w:val="auto"/>
        <w:rPr>
          <w:rFonts w:hint="eastAsia" w:ascii="仿宋_GB2312" w:hAnsi="Calibri" w:eastAsia="仿宋_GB2312"/>
          <w:bCs/>
          <w:sz w:val="28"/>
          <w:szCs w:val="28"/>
        </w:rPr>
      </w:pPr>
      <w:r>
        <w:rPr>
          <w:rFonts w:hint="eastAsia" w:ascii="仿宋_GB2312" w:hAnsi="Calibri" w:eastAsia="仿宋_GB2312"/>
          <w:b/>
          <w:bCs w:val="0"/>
          <w:sz w:val="28"/>
          <w:szCs w:val="28"/>
          <w:lang w:val="en-US" w:eastAsia="zh-CN"/>
        </w:rPr>
        <w:t>6.</w:t>
      </w:r>
      <w:r>
        <w:rPr>
          <w:rFonts w:hint="eastAsia" w:ascii="仿宋_GB2312" w:hAnsi="Calibri" w:eastAsia="仿宋_GB2312"/>
          <w:b/>
          <w:bCs w:val="0"/>
          <w:sz w:val="28"/>
          <w:szCs w:val="28"/>
        </w:rPr>
        <w:t>数据</w:t>
      </w:r>
      <w:r>
        <w:rPr>
          <w:rFonts w:hint="eastAsia" w:ascii="仿宋_GB2312" w:hAnsi="Calibri" w:eastAsia="仿宋_GB2312"/>
          <w:b/>
          <w:bCs w:val="0"/>
          <w:sz w:val="28"/>
          <w:szCs w:val="28"/>
          <w:lang w:eastAsia="zh-CN"/>
        </w:rPr>
        <w:t>备份：</w:t>
      </w:r>
      <w:r>
        <w:rPr>
          <w:rFonts w:hint="eastAsia" w:ascii="仿宋_GB2312" w:hAnsi="Calibri" w:eastAsia="仿宋_GB2312"/>
          <w:b w:val="0"/>
          <w:bCs/>
          <w:sz w:val="28"/>
          <w:szCs w:val="28"/>
          <w:lang w:eastAsia="zh-CN"/>
        </w:rPr>
        <w:t>数据库</w:t>
      </w:r>
      <w:r>
        <w:rPr>
          <w:rFonts w:hint="eastAsia" w:ascii="仿宋_GB2312" w:hAnsi="Calibri" w:eastAsia="仿宋_GB2312"/>
          <w:b w:val="0"/>
          <w:bCs/>
          <w:sz w:val="28"/>
          <w:szCs w:val="28"/>
        </w:rPr>
        <w:t>定期维</w:t>
      </w:r>
      <w:r>
        <w:rPr>
          <w:rFonts w:hint="eastAsia" w:ascii="仿宋_GB2312" w:hAnsi="Calibri" w:eastAsia="仿宋_GB2312"/>
          <w:bCs/>
          <w:sz w:val="28"/>
          <w:szCs w:val="28"/>
        </w:rPr>
        <w:t>护，至少每月一次做好手动数据备份工作，防止数据丢失。</w:t>
      </w:r>
    </w:p>
    <w:p>
      <w:pPr>
        <w:keepNext w:val="0"/>
        <w:keepLines w:val="0"/>
        <w:pageBreakBefore w:val="0"/>
        <w:widowControl w:val="0"/>
        <w:kinsoku/>
        <w:wordWrap/>
        <w:overflowPunct/>
        <w:topLinePunct w:val="0"/>
        <w:bidi w:val="0"/>
        <w:spacing w:line="480" w:lineRule="exact"/>
        <w:ind w:firstLine="562" w:firstLineChars="200"/>
        <w:textAlignment w:val="auto"/>
        <w:rPr>
          <w:rFonts w:hint="eastAsia" w:ascii="仿宋_GB2312" w:hAnsi="Calibri" w:eastAsia="仿宋_GB2312"/>
          <w:b/>
          <w:bCs w:val="0"/>
          <w:sz w:val="28"/>
          <w:szCs w:val="28"/>
          <w:lang w:val="en" w:eastAsia="zh-CN"/>
        </w:rPr>
      </w:pPr>
      <w:r>
        <w:rPr>
          <w:rFonts w:hint="default" w:ascii="仿宋_GB2312" w:hAnsi="Calibri" w:eastAsia="仿宋_GB2312"/>
          <w:b/>
          <w:bCs w:val="0"/>
          <w:sz w:val="28"/>
          <w:szCs w:val="28"/>
          <w:lang w:val="en" w:eastAsia="zh-CN"/>
        </w:rPr>
        <w:t>7.</w:t>
      </w:r>
      <w:r>
        <w:rPr>
          <w:rFonts w:hint="eastAsia" w:ascii="仿宋_GB2312" w:hAnsi="Calibri" w:eastAsia="仿宋_GB2312"/>
          <w:b/>
          <w:bCs w:val="0"/>
          <w:sz w:val="28"/>
          <w:szCs w:val="28"/>
          <w:lang w:val="en" w:eastAsia="zh-CN"/>
        </w:rPr>
        <w:t>项目成果：</w:t>
      </w:r>
      <w:r>
        <w:rPr>
          <w:rFonts w:hint="eastAsia" w:ascii="仿宋_GB2312" w:hAnsi="宋体" w:eastAsia="仿宋_GB2312" w:cs="宋体"/>
          <w:bCs/>
          <w:sz w:val="28"/>
          <w:szCs w:val="28"/>
          <w:lang w:val="en-US" w:eastAsia="zh-CN"/>
        </w:rPr>
        <w:t>设备每月运维台账、河道水质异常情况记录表、水质数据异常清单汇总、项目总结报告等</w:t>
      </w:r>
    </w:p>
    <w:p>
      <w:pPr>
        <w:keepNext w:val="0"/>
        <w:keepLines w:val="0"/>
        <w:pageBreakBefore w:val="0"/>
        <w:widowControl w:val="0"/>
        <w:kinsoku/>
        <w:wordWrap/>
        <w:overflowPunct/>
        <w:topLinePunct w:val="0"/>
        <w:bidi w:val="0"/>
        <w:spacing w:line="480" w:lineRule="exact"/>
        <w:ind w:firstLine="562" w:firstLineChars="200"/>
        <w:textAlignment w:val="auto"/>
        <w:rPr>
          <w:rFonts w:hint="eastAsia" w:ascii="仿宋_GB2312" w:hAnsi="Calibri" w:eastAsia="仿宋_GB2312"/>
          <w:b w:val="0"/>
          <w:bCs/>
          <w:sz w:val="28"/>
          <w:szCs w:val="28"/>
          <w:lang w:val="en-US" w:eastAsia="zh-CN"/>
        </w:rPr>
      </w:pPr>
      <w:r>
        <w:rPr>
          <w:rFonts w:hint="default" w:ascii="仿宋_GB2312" w:hAnsi="Calibri" w:eastAsia="仿宋_GB2312"/>
          <w:b/>
          <w:bCs w:val="0"/>
          <w:sz w:val="28"/>
          <w:szCs w:val="28"/>
          <w:lang w:val="en" w:eastAsia="zh-CN"/>
        </w:rPr>
        <w:t>8.</w:t>
      </w:r>
      <w:r>
        <w:rPr>
          <w:rFonts w:hint="eastAsia" w:ascii="仿宋_GB2312" w:hAnsi="Calibri" w:eastAsia="仿宋_GB2312"/>
          <w:b/>
          <w:bCs w:val="0"/>
          <w:sz w:val="28"/>
          <w:szCs w:val="28"/>
          <w:lang w:val="en" w:eastAsia="zh-CN"/>
        </w:rPr>
        <w:t>其他：</w:t>
      </w:r>
      <w:r>
        <w:rPr>
          <w:rFonts w:hint="eastAsia" w:ascii="仿宋_GB2312" w:hAnsi="Calibri" w:eastAsia="仿宋_GB2312"/>
          <w:b w:val="0"/>
          <w:bCs/>
          <w:sz w:val="28"/>
          <w:szCs w:val="28"/>
          <w:lang w:val="en-US" w:eastAsia="zh-CN"/>
        </w:rPr>
        <w:t>服务期内的设备保养、故障维修等所有内容的费用由中标人自行承担，投标人对所提供的货物应当享有合法的所有权，没有侵犯任何第三方的知识产权、技术秘密等权利，而且不存在任何抵押、留置、查封等产权瑕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80" w:lineRule="exact"/>
        <w:ind w:firstLine="562" w:firstLineChars="200"/>
        <w:textAlignment w:val="auto"/>
        <w:rPr>
          <w:rFonts w:hint="default" w:ascii="仿宋_GB2312" w:hAnsi="宋体" w:eastAsia="仿宋_GB2312" w:cs="宋体"/>
          <w:bCs/>
          <w:color w:val="auto"/>
          <w:sz w:val="28"/>
          <w:szCs w:val="28"/>
          <w:lang w:val="en" w:eastAsia="zh-CN"/>
        </w:rPr>
      </w:pPr>
      <w:r>
        <w:rPr>
          <w:rFonts w:hint="eastAsia" w:ascii="仿宋_GB2312" w:hAnsi="仿宋_GB2312" w:eastAsia="仿宋_GB2312" w:cs="仿宋_GB2312"/>
          <w:b/>
          <w:bCs/>
          <w:color w:val="auto"/>
          <w:sz w:val="28"/>
          <w:szCs w:val="28"/>
          <w:lang w:val="en" w:eastAsia="zh-CN"/>
        </w:rPr>
        <w:t>三、</w:t>
      </w:r>
      <w:r>
        <w:rPr>
          <w:rFonts w:hint="eastAsia" w:ascii="仿宋_GB2312" w:hAnsi="仿宋_GB2312" w:eastAsia="仿宋_GB2312" w:cs="仿宋_GB2312"/>
          <w:b/>
          <w:bCs/>
          <w:color w:val="auto"/>
          <w:sz w:val="28"/>
          <w:szCs w:val="28"/>
          <w:lang w:val="en-US" w:eastAsia="zh-CN"/>
        </w:rPr>
        <w:t>对供应商要求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１、供应商应有政府第三方承担地表水水质自动站监测或运维服务项目经验优先。供应商具备相关领域的环境服务认证证书为优。</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２、本项目实施团队成员应不少于8人，项目负责人需具有高级工程师及以上职称，项目组核心技术人员具备地表水水站运维资质为优，服务期内非得到招标人允许，项目负责人不得更换。</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仿宋_GB2312" w:hAnsi="宋体" w:eastAsia="仿宋_GB2312" w:cs="宋体"/>
          <w:bCs/>
          <w:sz w:val="28"/>
          <w:szCs w:val="28"/>
          <w:lang w:val="en-US" w:eastAsia="zh-CN"/>
        </w:rPr>
      </w:pPr>
      <w:r>
        <w:rPr>
          <w:rFonts w:hint="eastAsia" w:ascii="仿宋_GB2312" w:hAnsi="宋体" w:eastAsia="仿宋_GB2312" w:cs="宋体"/>
          <w:bCs/>
          <w:sz w:val="28"/>
          <w:szCs w:val="28"/>
          <w:lang w:val="en-US" w:eastAsia="zh-CN"/>
        </w:rPr>
        <w:t>３、投标单位在接到招标人服务通知后需1小时内响应，3小时赶赴招标人服务地点进行响应服务。紧急情况下，投标单位需在接到招标人服务通知后2小时内赶赴招标人指定的服务地点。</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仿宋_GB2312" w:hAnsi="宋体" w:eastAsia="仿宋_GB2312" w:cs="宋体"/>
          <w:bCs/>
          <w:sz w:val="28"/>
          <w:szCs w:val="28"/>
          <w:lang w:val="en-US" w:eastAsia="zh-CN"/>
        </w:rPr>
      </w:pPr>
      <w:r>
        <w:rPr>
          <w:rFonts w:hint="eastAsia" w:ascii="仿宋_GB2312" w:hAnsi="宋体" w:eastAsia="仿宋_GB2312" w:cs="宋体"/>
          <w:bCs/>
          <w:sz w:val="28"/>
          <w:szCs w:val="28"/>
          <w:lang w:val="en-US" w:eastAsia="zh-CN"/>
        </w:rPr>
        <w:t>４、投标单位服务团队应严格按照国家、上海市和采购单位相关政策文件要求开展工作。投标单位不得伪造、篡改调查资料，投标单位按照相关保密协议、档案管理规定，履行保密、档案管理义务。投标单位在服务过程中收集到的所有原始数据、资料和报告在没有得到采购单位的书面许可之前，不得向任何第三方泄露以及挪为他用，凡是因投标单位信息泄漏造成的一切后果责任由投标单位承担。</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80" w:lineRule="exact"/>
        <w:ind w:firstLine="562"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lang w:eastAsia="zh-CN"/>
        </w:rPr>
        <w:t>服务期</w:t>
      </w:r>
    </w:p>
    <w:p>
      <w:pPr>
        <w:keepNext w:val="0"/>
        <w:keepLines w:val="0"/>
        <w:pageBreakBefore w:val="0"/>
        <w:widowControl w:val="0"/>
        <w:kinsoku/>
        <w:wordWrap/>
        <w:overflowPunct/>
        <w:topLinePunct w:val="0"/>
        <w:autoSpaceDE/>
        <w:autoSpaceDN/>
        <w:bidi w:val="0"/>
        <w:spacing w:beforeAutospacing="0" w:afterAutospacing="0"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本项目服务期限为自合同签订之日起至</w:t>
      </w:r>
      <w:r>
        <w:rPr>
          <w:rFonts w:hint="default" w:ascii="仿宋_GB2312" w:hAnsi="仿宋_GB2312" w:eastAsia="仿宋_GB2312" w:cs="仿宋_GB2312"/>
          <w:sz w:val="28"/>
          <w:szCs w:val="28"/>
          <w:lang w:val="en" w:eastAsia="zh-CN"/>
        </w:rPr>
        <w:t>2027</w:t>
      </w:r>
      <w:r>
        <w:rPr>
          <w:rFonts w:hint="eastAsia" w:ascii="仿宋_GB2312" w:hAnsi="仿宋_GB2312" w:eastAsia="仿宋_GB2312" w:cs="仿宋_GB2312"/>
          <w:sz w:val="28"/>
          <w:szCs w:val="28"/>
          <w:lang w:val="en" w:eastAsia="zh-CN"/>
        </w:rPr>
        <w:t>年</w:t>
      </w:r>
      <w:r>
        <w:rPr>
          <w:rFonts w:hint="default" w:ascii="仿宋_GB2312" w:hAnsi="仿宋_GB2312" w:eastAsia="仿宋_GB2312" w:cs="仿宋_GB2312"/>
          <w:sz w:val="28"/>
          <w:szCs w:val="28"/>
          <w:lang w:val="en" w:eastAsia="zh-CN"/>
        </w:rPr>
        <w:t>3</w:t>
      </w:r>
      <w:r>
        <w:rPr>
          <w:rFonts w:hint="eastAsia" w:ascii="仿宋_GB2312" w:hAnsi="仿宋_GB2312" w:eastAsia="仿宋_GB2312" w:cs="仿宋_GB2312"/>
          <w:sz w:val="28"/>
          <w:szCs w:val="28"/>
          <w:lang w:val="en" w:eastAsia="zh-CN"/>
        </w:rPr>
        <w:t>月</w:t>
      </w:r>
      <w:r>
        <w:rPr>
          <w:rFonts w:hint="default" w:ascii="仿宋_GB2312" w:hAnsi="仿宋_GB2312" w:eastAsia="仿宋_GB2312" w:cs="仿宋_GB2312"/>
          <w:sz w:val="28"/>
          <w:szCs w:val="28"/>
          <w:lang w:val="en" w:eastAsia="zh-CN"/>
        </w:rPr>
        <w:t>31</w:t>
      </w:r>
      <w:r>
        <w:rPr>
          <w:rFonts w:hint="eastAsia" w:ascii="仿宋_GB2312" w:hAnsi="仿宋_GB2312" w:eastAsia="仿宋_GB2312" w:cs="仿宋_GB2312"/>
          <w:sz w:val="28"/>
          <w:szCs w:val="28"/>
          <w:lang w:val="en" w:eastAsia="zh-CN"/>
        </w:rPr>
        <w:t>日</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2"/>
        </w:numPr>
        <w:kinsoku/>
        <w:wordWrap/>
        <w:overflowPunct/>
        <w:topLinePunct w:val="0"/>
        <w:autoSpaceDE w:val="0"/>
        <w:autoSpaceDN w:val="0"/>
        <w:bidi w:val="0"/>
        <w:spacing w:beforeAutospacing="0" w:afterAutospacing="0" w:line="480" w:lineRule="exact"/>
        <w:ind w:firstLine="562"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付款方式</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8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本项目采用先服务后付款方式，每３个月开展一次考核付款，根据《松江区生态环境局购买服务项目考核》及绩效评价管理办法进行考核，根据考核结果付款。计划于202</w:t>
      </w:r>
      <w:r>
        <w:rPr>
          <w:rFonts w:hint="default" w:ascii="仿宋_GB2312" w:hAnsi="仿宋_GB2312" w:eastAsia="仿宋_GB2312" w:cs="仿宋_GB2312"/>
          <w:b w:val="0"/>
          <w:bCs w:val="0"/>
          <w:kern w:val="2"/>
          <w:sz w:val="28"/>
          <w:szCs w:val="28"/>
          <w:lang w:val="en" w:eastAsia="zh-CN" w:bidi="ar-SA"/>
        </w:rPr>
        <w:t>6</w:t>
      </w:r>
      <w:r>
        <w:rPr>
          <w:rFonts w:hint="eastAsia" w:ascii="仿宋_GB2312" w:hAnsi="仿宋_GB2312" w:eastAsia="仿宋_GB2312" w:cs="仿宋_GB2312"/>
          <w:b w:val="0"/>
          <w:bCs w:val="0"/>
          <w:kern w:val="2"/>
          <w:sz w:val="28"/>
          <w:szCs w:val="28"/>
          <w:lang w:val="en-US" w:eastAsia="zh-CN" w:bidi="ar-SA"/>
        </w:rPr>
        <w:t>年7月、10月、</w:t>
      </w:r>
      <w:r>
        <w:rPr>
          <w:rFonts w:hint="default" w:ascii="仿宋_GB2312" w:hAnsi="仿宋_GB2312" w:eastAsia="仿宋_GB2312" w:cs="仿宋_GB2312"/>
          <w:b w:val="0"/>
          <w:bCs w:val="0"/>
          <w:kern w:val="2"/>
          <w:sz w:val="28"/>
          <w:szCs w:val="28"/>
          <w:lang w:val="en" w:eastAsia="zh-CN" w:bidi="ar-SA"/>
        </w:rPr>
        <w:t>2027</w:t>
      </w:r>
      <w:r>
        <w:rPr>
          <w:rFonts w:hint="eastAsia" w:ascii="仿宋_GB2312" w:hAnsi="仿宋_GB2312" w:eastAsia="仿宋_GB2312" w:cs="仿宋_GB2312"/>
          <w:b w:val="0"/>
          <w:bCs w:val="0"/>
          <w:kern w:val="2"/>
          <w:sz w:val="28"/>
          <w:szCs w:val="28"/>
          <w:lang w:val="en" w:eastAsia="zh-CN" w:bidi="ar-SA"/>
        </w:rPr>
        <w:t>年１月、４月分别</w:t>
      </w:r>
      <w:r>
        <w:rPr>
          <w:rFonts w:hint="eastAsia" w:ascii="仿宋_GB2312" w:hAnsi="仿宋_GB2312" w:eastAsia="仿宋_GB2312" w:cs="仿宋_GB2312"/>
          <w:b w:val="0"/>
          <w:bCs w:val="0"/>
          <w:kern w:val="2"/>
          <w:sz w:val="28"/>
          <w:szCs w:val="28"/>
          <w:lang w:val="en-US" w:eastAsia="zh-CN" w:bidi="ar-SA"/>
        </w:rPr>
        <w:t>开展考核，各支付25%合同款。</w:t>
      </w:r>
    </w:p>
    <w:p>
      <w:pPr>
        <w:rPr>
          <w:rFonts w:hint="eastAsia"/>
          <w:lang w:val="en-US" w:eastAsia="zh-CN"/>
        </w:rPr>
      </w:pPr>
      <w:r>
        <w:rPr>
          <w:rFonts w:hint="eastAsia"/>
          <w:lang w:val="en-US" w:eastAsia="zh-CN"/>
        </w:rPr>
        <w:br w:type="page"/>
      </w:r>
    </w:p>
    <w:p>
      <w:pPr>
        <w:rPr>
          <w:rFonts w:hint="eastAsia"/>
          <w:lang w:val="en-US" w:eastAsia="zh-CN"/>
        </w:rPr>
      </w:pPr>
    </w:p>
    <w:tbl>
      <w:tblPr>
        <w:tblStyle w:val="8"/>
        <w:tblW w:w="8581" w:type="dxa"/>
        <w:jc w:val="center"/>
        <w:tblLayout w:type="fixed"/>
        <w:tblCellMar>
          <w:top w:w="0" w:type="dxa"/>
          <w:left w:w="108" w:type="dxa"/>
          <w:bottom w:w="0" w:type="dxa"/>
          <w:right w:w="108" w:type="dxa"/>
        </w:tblCellMar>
      </w:tblPr>
      <w:tblGrid>
        <w:gridCol w:w="1621"/>
        <w:gridCol w:w="6960"/>
      </w:tblGrid>
      <w:tr>
        <w:tblPrEx>
          <w:tblCellMar>
            <w:top w:w="0" w:type="dxa"/>
            <w:left w:w="108" w:type="dxa"/>
            <w:bottom w:w="0" w:type="dxa"/>
            <w:right w:w="108" w:type="dxa"/>
          </w:tblCellMar>
        </w:tblPrEx>
        <w:trPr>
          <w:trHeight w:val="329" w:hRule="atLeast"/>
          <w:jc w:val="center"/>
        </w:trPr>
        <w:tc>
          <w:tcPr>
            <w:tcW w:w="8581" w:type="dxa"/>
            <w:gridSpan w:val="2"/>
            <w:tcBorders>
              <w:top w:val="single" w:color="auto" w:sz="4" w:space="0"/>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综合评分指标内容</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eastAsia="zh-CN"/>
              </w:rPr>
            </w:pPr>
            <w:r>
              <w:rPr>
                <w:rFonts w:hint="eastAsia" w:ascii="仿宋_GB2312" w:hAnsi="仿宋_GB2312" w:eastAsia="仿宋_GB2312" w:cs="仿宋_GB2312"/>
                <w:b/>
                <w:bCs/>
                <w:kern w:val="0"/>
                <w:sz w:val="22"/>
                <w:szCs w:val="22"/>
                <w:lang w:eastAsia="zh-CN"/>
              </w:rPr>
              <w:t>项目名称</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rPr>
            </w:pPr>
          </w:p>
        </w:tc>
      </w:tr>
      <w:tr>
        <w:tblPrEx>
          <w:tblCellMar>
            <w:top w:w="0" w:type="dxa"/>
            <w:left w:w="108" w:type="dxa"/>
            <w:bottom w:w="0" w:type="dxa"/>
            <w:right w:w="108" w:type="dxa"/>
          </w:tblCellMar>
        </w:tblPrEx>
        <w:trPr>
          <w:trHeight w:val="374"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kern w:val="0"/>
                <w:sz w:val="22"/>
                <w:szCs w:val="22"/>
              </w:rPr>
              <w:t>指标及分值</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kern w:val="0"/>
                <w:sz w:val="22"/>
                <w:szCs w:val="22"/>
              </w:rPr>
              <w:t>评分标准</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lang w:eastAsia="zh-CN"/>
              </w:rPr>
              <w:t>报价（万元）</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val="en-US" w:eastAsia="zh-CN"/>
              </w:rPr>
            </w:pPr>
          </w:p>
        </w:tc>
      </w:tr>
      <w:tr>
        <w:tblPrEx>
          <w:tblCellMar>
            <w:top w:w="0" w:type="dxa"/>
            <w:left w:w="108" w:type="dxa"/>
            <w:bottom w:w="0" w:type="dxa"/>
            <w:right w:w="108" w:type="dxa"/>
          </w:tblCellMar>
        </w:tblPrEx>
        <w:trPr>
          <w:trHeight w:val="570" w:hRule="atLeast"/>
          <w:jc w:val="center"/>
        </w:trPr>
        <w:tc>
          <w:tcPr>
            <w:tcW w:w="1621" w:type="dxa"/>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报价</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rPr>
              <w:t>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满足采购文件要求且价格最低的最终报价为评审基准价，得20分。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其他供应商的价格分统一按照下列公式计算：报价得分=20×（评审基准价/最终报价）</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超过最高限价金额的投标为无效投标；</w:t>
            </w:r>
          </w:p>
        </w:tc>
      </w:tr>
      <w:tr>
        <w:tblPrEx>
          <w:tblCellMar>
            <w:top w:w="0" w:type="dxa"/>
            <w:left w:w="108" w:type="dxa"/>
            <w:bottom w:w="0" w:type="dxa"/>
            <w:right w:w="108" w:type="dxa"/>
          </w:tblCellMar>
        </w:tblPrEx>
        <w:trPr>
          <w:trHeight w:val="509"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整体策划方案</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20</w:t>
            </w:r>
            <w:r>
              <w:rPr>
                <w:rFonts w:hint="eastAsia" w:ascii="仿宋_GB2312" w:hAnsi="仿宋_GB2312" w:eastAsia="仿宋_GB2312" w:cs="仿宋_GB2312"/>
                <w:color w:val="auto"/>
                <w:kern w:val="0"/>
                <w:sz w:val="21"/>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根据报价供应商所提供总体服务方案中体现的方案服务内容、服务安排、重点分析等响应情况给予评价。总体服务方案完善，思路明确完全符合招标文件要求为好（15-20分）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总体服务方案简单，基本能满足招标文件要求为一般（7-14分）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总体服务方案不明确，不能满足招标文件要求为差（1-6分）。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质量保证措施</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20</w:t>
            </w:r>
            <w:r>
              <w:rPr>
                <w:rFonts w:hint="eastAsia" w:ascii="仿宋_GB2312" w:hAnsi="仿宋_GB2312" w:eastAsia="仿宋_GB2312" w:cs="仿宋_GB2312"/>
                <w:color w:val="auto"/>
                <w:kern w:val="0"/>
                <w:sz w:val="21"/>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根据报价供应商提供的质量保证措施情况及解决措施的综合情况进行综合评审</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lang w:eastAsia="zh-CN"/>
              </w:rPr>
              <w:t>质量保证分析及措施合理且完全满足需求的为好（</w:t>
            </w:r>
            <w:r>
              <w:rPr>
                <w:rFonts w:hint="eastAsia" w:ascii="仿宋_GB2312" w:hAnsi="仿宋_GB2312" w:eastAsia="仿宋_GB2312" w:cs="仿宋_GB2312"/>
                <w:kern w:val="0"/>
                <w:sz w:val="21"/>
                <w:szCs w:val="21"/>
              </w:rPr>
              <w:t>15-20分</w:t>
            </w:r>
            <w:r>
              <w:rPr>
                <w:rFonts w:hint="eastAsia" w:ascii="仿宋_GB2312" w:hAnsi="仿宋_GB2312" w:eastAsia="仿宋_GB2312" w:cs="仿宋_GB2312"/>
                <w:sz w:val="21"/>
                <w:szCs w:val="21"/>
                <w:lang w:eastAsia="zh-CN"/>
              </w:rPr>
              <w:t>）</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lang w:eastAsia="zh-CN"/>
              </w:rPr>
              <w:t>质量保证分析及措施基本满足文件需求为一般（</w:t>
            </w:r>
            <w:r>
              <w:rPr>
                <w:rFonts w:hint="eastAsia" w:ascii="仿宋_GB2312" w:hAnsi="仿宋_GB2312" w:eastAsia="仿宋_GB2312" w:cs="仿宋_GB2312"/>
                <w:kern w:val="0"/>
                <w:sz w:val="21"/>
                <w:szCs w:val="21"/>
              </w:rPr>
              <w:t>7-14分</w:t>
            </w:r>
            <w:r>
              <w:rPr>
                <w:rFonts w:hint="eastAsia" w:ascii="仿宋_GB2312" w:hAnsi="仿宋_GB2312" w:eastAsia="仿宋_GB2312" w:cs="仿宋_GB2312"/>
                <w:sz w:val="21"/>
                <w:szCs w:val="21"/>
                <w:lang w:eastAsia="zh-CN"/>
              </w:rPr>
              <w:t>）</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lang w:eastAsia="zh-CN"/>
              </w:rPr>
              <w:t>质量保证分析及措施不满足需求为差（</w:t>
            </w:r>
            <w:r>
              <w:rPr>
                <w:rFonts w:hint="eastAsia" w:ascii="仿宋_GB2312" w:hAnsi="仿宋_GB2312" w:eastAsia="仿宋_GB2312" w:cs="仿宋_GB2312"/>
                <w:kern w:val="0"/>
                <w:sz w:val="21"/>
                <w:szCs w:val="21"/>
              </w:rPr>
              <w:t>1-6</w:t>
            </w:r>
            <w:r>
              <w:rPr>
                <w:rFonts w:hint="eastAsia" w:ascii="仿宋_GB2312" w:hAnsi="仿宋_GB2312" w:eastAsia="仿宋_GB2312" w:cs="仿宋_GB2312"/>
                <w:sz w:val="21"/>
                <w:szCs w:val="21"/>
                <w:lang w:eastAsia="zh-CN"/>
              </w:rPr>
              <w:t>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拟派项目团队人员情况</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20分）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根据拟派项目团队人员情况（含项目经理、质量负责人及其他主要人员资历、证书情况）的架构情况进行综合评审</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人员配置充足、组织架构合理得15-20分；人员配置不够完善、组织架构简单得7-14分；人员配置、组织架构不够明确得1-6分；</w:t>
            </w:r>
          </w:p>
        </w:tc>
      </w:tr>
      <w:tr>
        <w:tblPrEx>
          <w:tblCellMar>
            <w:top w:w="0" w:type="dxa"/>
            <w:left w:w="108" w:type="dxa"/>
            <w:bottom w:w="0" w:type="dxa"/>
            <w:right w:w="108" w:type="dxa"/>
          </w:tblCellMar>
        </w:tblPrEx>
        <w:trPr>
          <w:trHeight w:val="105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服务承诺</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（1</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根据报价供应商提供的服务承诺及合理化建议进行综合评审</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服务承诺优于文件要求及合理化建议可行为好（7-10分）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服务承诺基本满足文件要求及合理化建议较好为一般（4-6分）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服务承诺不能满足文件要求及合理化建议不可行为差（1-3分）</w:t>
            </w:r>
          </w:p>
        </w:tc>
      </w:tr>
      <w:tr>
        <w:tblPrEx>
          <w:tblCellMar>
            <w:top w:w="0" w:type="dxa"/>
            <w:left w:w="108" w:type="dxa"/>
            <w:bottom w:w="0" w:type="dxa"/>
            <w:right w:w="108" w:type="dxa"/>
          </w:tblCellMar>
        </w:tblPrEx>
        <w:trPr>
          <w:trHeight w:val="378" w:hRule="atLeast"/>
          <w:jc w:val="center"/>
        </w:trPr>
        <w:tc>
          <w:tcPr>
            <w:tcW w:w="16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业绩状况</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10分）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投标截至日前三年内类似业绩（具体时间以合同签订日期</w:t>
            </w:r>
            <w:r>
              <w:rPr>
                <w:rFonts w:hint="eastAsia" w:ascii="仿宋_GB2312" w:hAnsi="仿宋_GB2312" w:eastAsia="仿宋_GB2312" w:cs="仿宋_GB2312"/>
                <w:color w:val="000000"/>
                <w:kern w:val="0"/>
                <w:sz w:val="21"/>
                <w:szCs w:val="21"/>
                <w:lang w:eastAsia="zh-CN"/>
              </w:rPr>
              <w:t>、合同履约期限、</w:t>
            </w:r>
            <w:r>
              <w:rPr>
                <w:rFonts w:hint="eastAsia" w:ascii="仿宋_GB2312" w:hAnsi="仿宋_GB2312" w:eastAsia="仿宋_GB2312" w:cs="仿宋_GB2312"/>
                <w:color w:val="000000"/>
                <w:kern w:val="0"/>
                <w:sz w:val="21"/>
                <w:szCs w:val="21"/>
              </w:rPr>
              <w:t>中标通知书落款日期为准，未注明日期或者不清楚则不予计取，</w:t>
            </w:r>
            <w:r>
              <w:rPr>
                <w:rFonts w:hint="eastAsia" w:ascii="仿宋_GB2312" w:hAnsi="仿宋_GB2312" w:eastAsia="仿宋_GB2312" w:cs="仿宋_GB2312"/>
                <w:color w:val="000000"/>
                <w:kern w:val="0"/>
                <w:sz w:val="21"/>
                <w:szCs w:val="21"/>
                <w:lang w:eastAsia="zh-CN"/>
              </w:rPr>
              <w:t>须有双方公章</w:t>
            </w:r>
            <w:r>
              <w:rPr>
                <w:rFonts w:hint="eastAsia" w:ascii="仿宋_GB2312" w:hAnsi="仿宋_GB2312" w:eastAsia="仿宋_GB2312" w:cs="仿宋_GB2312"/>
                <w:color w:val="000000"/>
                <w:kern w:val="0"/>
                <w:sz w:val="21"/>
                <w:szCs w:val="21"/>
              </w:rPr>
              <w:t>）每提供1个得</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分，满分</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0分，未提供的得0分。</w:t>
            </w:r>
          </w:p>
        </w:tc>
      </w:tr>
      <w:tr>
        <w:tblPrEx>
          <w:tblCellMar>
            <w:top w:w="0" w:type="dxa"/>
            <w:left w:w="108" w:type="dxa"/>
            <w:bottom w:w="0" w:type="dxa"/>
            <w:right w:w="108" w:type="dxa"/>
          </w:tblCellMar>
        </w:tblPrEx>
        <w:trPr>
          <w:trHeight w:val="517" w:hRule="atLeast"/>
          <w:jc w:val="center"/>
        </w:trPr>
        <w:tc>
          <w:tcPr>
            <w:tcW w:w="85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综合评定分数（100分）　</w:t>
            </w:r>
          </w:p>
        </w:tc>
      </w:tr>
    </w:tbl>
    <w:p>
      <w:pPr>
        <w:pStyle w:val="2"/>
        <w:numPr>
          <w:ilvl w:val="1"/>
          <w:numId w:val="0"/>
        </w:numPr>
        <w:ind w:leftChars="0"/>
        <w:rPr>
          <w:rFonts w:hint="eastAsia"/>
          <w:lang w:val="en-US" w:eastAsia="zh-CN"/>
        </w:rPr>
      </w:pPr>
    </w:p>
    <w:p>
      <w:pPr>
        <w:pStyle w:val="4"/>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D4FD8"/>
    <w:multiLevelType w:val="singleLevel"/>
    <w:tmpl w:val="DFBD4FD8"/>
    <w:lvl w:ilvl="0" w:tentative="0">
      <w:start w:val="5"/>
      <w:numFmt w:val="chineseCounting"/>
      <w:suff w:val="nothing"/>
      <w:lvlText w:val="%1、"/>
      <w:lvlJc w:val="left"/>
      <w:rPr>
        <w:rFonts w:hint="eastAsia"/>
      </w:rPr>
    </w:lvl>
  </w:abstractNum>
  <w:abstractNum w:abstractNumId="1">
    <w:nsid w:val="401072F5"/>
    <w:multiLevelType w:val="multilevel"/>
    <w:tmpl w:val="401072F5"/>
    <w:lvl w:ilvl="0" w:tentative="0">
      <w:start w:val="1"/>
      <w:numFmt w:val="decimal"/>
      <w:lvlText w:val="%1"/>
      <w:lvlJc w:val="left"/>
      <w:pPr>
        <w:ind w:left="432" w:hanging="432"/>
      </w:pPr>
      <w:rPr>
        <w:sz w:val="30"/>
        <w:szCs w:val="30"/>
      </w:rPr>
    </w:lvl>
    <w:lvl w:ilvl="1" w:tentative="0">
      <w:start w:val="1"/>
      <w:numFmt w:val="decimal"/>
      <w:pStyle w:val="2"/>
      <w:lvlText w:val="%1.%2"/>
      <w:lvlJc w:val="left"/>
      <w:pPr>
        <w:ind w:left="576" w:hanging="576"/>
      </w:pPr>
    </w:lvl>
    <w:lvl w:ilvl="2" w:tentative="0">
      <w:start w:val="1"/>
      <w:numFmt w:val="decimal"/>
      <w:lvlText w:val="%1.%2.%3"/>
      <w:lvlJc w:val="left"/>
      <w:pPr>
        <w:ind w:left="1004"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MzA2MDUzMmUzMDRjZTY1ZmQyNTc4MzkyZjc2NWUifQ=="/>
  </w:docVars>
  <w:rsids>
    <w:rsidRoot w:val="00172A27"/>
    <w:rsid w:val="00210523"/>
    <w:rsid w:val="002F4429"/>
    <w:rsid w:val="006570B9"/>
    <w:rsid w:val="006C1C68"/>
    <w:rsid w:val="007A07FA"/>
    <w:rsid w:val="00B36D95"/>
    <w:rsid w:val="00D53F41"/>
    <w:rsid w:val="00DD4F7B"/>
    <w:rsid w:val="00E236A3"/>
    <w:rsid w:val="00EF4EE0"/>
    <w:rsid w:val="13B319B1"/>
    <w:rsid w:val="1D7DD91F"/>
    <w:rsid w:val="2B1E71B6"/>
    <w:rsid w:val="2FBF664C"/>
    <w:rsid w:val="30A47B90"/>
    <w:rsid w:val="355F29FC"/>
    <w:rsid w:val="385F8A3F"/>
    <w:rsid w:val="43CC25FA"/>
    <w:rsid w:val="49FD77B9"/>
    <w:rsid w:val="4BDC4148"/>
    <w:rsid w:val="4C364BA6"/>
    <w:rsid w:val="52FCB6CA"/>
    <w:rsid w:val="61782664"/>
    <w:rsid w:val="633F4878"/>
    <w:rsid w:val="70BE1FD6"/>
    <w:rsid w:val="8D7F8872"/>
    <w:rsid w:val="97FDF155"/>
    <w:rsid w:val="BEB97913"/>
    <w:rsid w:val="BF919B1D"/>
    <w:rsid w:val="DDDF6FA1"/>
    <w:rsid w:val="DEF86577"/>
    <w:rsid w:val="EF76E8E9"/>
    <w:rsid w:val="F5EF8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40" w:after="240" w:line="360" w:lineRule="auto"/>
      <w:outlineLvl w:val="1"/>
    </w:pPr>
    <w:rPr>
      <w:rFonts w:ascii="宋体" w:hAnsi="宋体" w:eastAsia="宋体" w:cs="宋体"/>
      <w:b/>
      <w:bCs/>
      <w:kern w:val="2"/>
      <w:sz w:val="30"/>
      <w:szCs w:val="36"/>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sz w:val="24"/>
    </w:rPr>
  </w:style>
  <w:style w:type="paragraph" w:customStyle="1" w:styleId="4">
    <w:name w:val="正文文本首行缩进1"/>
    <w:basedOn w:val="3"/>
    <w:qFormat/>
    <w:uiPriority w:val="0"/>
    <w:pPr>
      <w:ind w:firstLine="420" w:firstLineChars="100"/>
    </w:pPr>
    <w:rPr>
      <w:szCs w:val="24"/>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Body Text First Indent"/>
    <w:basedOn w:val="3"/>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ascii="Calibri" w:hAnsi="Calibri" w:cs="Calibri"/>
      <w:color w:val="000000"/>
      <w:sz w:val="18"/>
      <w:szCs w:val="18"/>
      <w:u w:val="none"/>
    </w:rPr>
  </w:style>
  <w:style w:type="character" w:customStyle="1" w:styleId="12">
    <w:name w:val="font21"/>
    <w:basedOn w:val="10"/>
    <w:qFormat/>
    <w:uiPriority w:val="0"/>
    <w:rPr>
      <w:rFonts w:ascii="楷体_GB2312" w:eastAsia="楷体_GB2312" w:cs="楷体_GB2312"/>
      <w:color w:val="000000"/>
      <w:sz w:val="18"/>
      <w:szCs w:val="18"/>
      <w:u w:val="none"/>
    </w:rPr>
  </w:style>
  <w:style w:type="character" w:customStyle="1" w:styleId="13">
    <w:name w:val="font01"/>
    <w:basedOn w:val="10"/>
    <w:qFormat/>
    <w:uiPriority w:val="0"/>
    <w:rPr>
      <w:rFonts w:hint="eastAsia" w:ascii="宋体" w:hAnsi="宋体" w:eastAsia="宋体" w:cs="宋体"/>
      <w:color w:val="000000"/>
      <w:sz w:val="18"/>
      <w:szCs w:val="18"/>
      <w:u w:val="none"/>
    </w:rPr>
  </w:style>
  <w:style w:type="paragraph" w:styleId="14">
    <w:name w:val="List Paragraph"/>
    <w:basedOn w:val="1"/>
    <w:unhideWhenUsed/>
    <w:qFormat/>
    <w:uiPriority w:val="99"/>
    <w:pPr>
      <w:ind w:firstLine="420" w:firstLineChars="200"/>
    </w:pPr>
  </w:style>
  <w:style w:type="character" w:customStyle="1" w:styleId="15">
    <w:name w:val="页眉 字符"/>
    <w:basedOn w:val="10"/>
    <w:link w:val="6"/>
    <w:qFormat/>
    <w:uiPriority w:val="0"/>
    <w:rPr>
      <w:kern w:val="2"/>
      <w:sz w:val="18"/>
      <w:szCs w:val="18"/>
    </w:rPr>
  </w:style>
  <w:style w:type="character" w:customStyle="1" w:styleId="16">
    <w:name w:val="页脚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3007</Words>
  <Characters>3176</Characters>
  <Lines>27</Lines>
  <Paragraphs>20</Paragraphs>
  <TotalTime>2</TotalTime>
  <ScaleCrop>false</ScaleCrop>
  <LinksUpToDate>false</LinksUpToDate>
  <CharactersWithSpaces>3212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2023-12-23T18:45:00Z</dcterms:created>
  <dc:creator>GLIN</dc:creator>
  <cp:lastModifiedBy>user</cp:lastModifiedBy>
  <cp:lastPrinted>2023-12-23T19:02:00Z</cp:lastPrinted>
  <dcterms:modified xsi:type="dcterms:W3CDTF">2026-02-28T15:41:38Z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0B0834748DE4B2268955A26914C4C7AE</vt:lpwstr>
  </property>
  <property fmtid="{D5CDD505-2E9C-101B-9397-08002B2CF9AE}" pid="4" name="KSOTemplateDocerSaveRecord">
    <vt:lpwstr>eyJoZGlkIjoiYjIxNmQyM2NmNDUwMDk4YzVjODZjMWE2MmQxOGJjOTkiLCJ1c2VySWQiOiIyMTYwOTEyNzMifQ==</vt:lpwstr>
  </property>
</Properties>
</file>